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62" w:lineRule="auto"/>
        <w:ind w:left="872" w:firstLine="0"/>
        <w:rPr>
          <w:b w:val="1"/>
          <w:sz w:val="55"/>
          <w:szCs w:val="55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55"/>
          <w:szCs w:val="55"/>
          <w:rtl w:val="0"/>
        </w:rPr>
        <w:t xml:space="preserve">Конкурсное задание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firstLine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2655"/>
        </w:tabs>
        <w:spacing w:before="120" w:lineRule="auto"/>
        <w:ind w:left="851" w:firstLine="0"/>
        <w:rPr>
          <w:b w:val="1"/>
          <w:color w:val="000000"/>
          <w:sz w:val="28"/>
          <w:szCs w:val="28"/>
          <w:highlight w:val="white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Ф</w:t>
      </w: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инал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а</w:t>
      </w: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IX Национального Чемпионата «Молодые профессионалы»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ind w:left="851" w:right="3462" w:firstLine="0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(WorldSkills Russia) – 202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20" w:lineRule="auto"/>
        <w:ind w:left="872" w:right="1477" w:firstLine="0"/>
        <w:rPr>
          <w:color w:val="ff0000"/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Компетенция </w:t>
      </w:r>
      <w:r w:rsidDel="00000000" w:rsidR="00000000" w:rsidRPr="00000000">
        <w:rPr>
          <w:color w:val="ff0000"/>
          <w:sz w:val="36"/>
          <w:szCs w:val="36"/>
          <w:rtl w:val="0"/>
        </w:rPr>
        <w:t xml:space="preserve">Предпринимательство</w:t>
      </w:r>
    </w:p>
    <w:p w:rsidR="00000000" w:rsidDel="00000000" w:rsidP="00000000" w:rsidRDefault="00000000" w:rsidRPr="00000000" w14:paraId="00000006">
      <w:pPr>
        <w:spacing w:before="120" w:lineRule="auto"/>
        <w:ind w:left="872" w:right="1477" w:firstLine="0"/>
        <w:rPr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315" w:lineRule="auto"/>
        <w:ind w:left="872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Конкурсное задание включает в себя следующие разделы: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93"/>
        </w:tabs>
        <w:spacing w:before="120" w:line="322" w:lineRule="auto"/>
        <w:ind w:left="1592" w:hanging="360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Формы участия в конкурсе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93"/>
        </w:tabs>
        <w:spacing w:line="322" w:lineRule="auto"/>
        <w:ind w:left="1592" w:hanging="360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Задание для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93"/>
        </w:tabs>
        <w:spacing w:line="322" w:lineRule="auto"/>
        <w:ind w:left="1592" w:hanging="360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Модули задания и необходимое время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93"/>
        </w:tabs>
        <w:spacing w:line="322" w:lineRule="auto"/>
        <w:ind w:left="1592" w:hanging="360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Критерии оценки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93"/>
        </w:tabs>
        <w:ind w:left="1592" w:hanging="360"/>
        <w:rPr>
          <w:color w:val="000000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Необходимые приложения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93"/>
        </w:tabs>
        <w:ind w:left="1592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72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Количество часов на выполнение задания: </w:t>
      </w:r>
      <w:r w:rsidDel="00000000" w:rsidR="00000000" w:rsidRPr="00000000">
        <w:rPr>
          <w:sz w:val="28"/>
          <w:szCs w:val="28"/>
          <w:rtl w:val="0"/>
        </w:rPr>
        <w:t xml:space="preserve">15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ч.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72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1270</wp:posOffset>
            </wp:positionH>
            <wp:positionV relativeFrom="paragraph">
              <wp:posOffset>631190</wp:posOffset>
            </wp:positionV>
            <wp:extent cx="7237730" cy="4276725"/>
            <wp:effectExtent b="0" l="0" r="0" t="0"/>
            <wp:wrapTopAndBottom distB="0" dist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7730" cy="4276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15"/>
          <w:szCs w:val="15"/>
        </w:rPr>
        <w:sectPr>
          <w:headerReference r:id="rId8" w:type="default"/>
          <w:footerReference r:id="rId9" w:type="default"/>
          <w:pgSz w:h="16840" w:w="11900" w:orient="portrait"/>
          <w:pgMar w:bottom="0" w:top="480" w:left="260" w:right="240" w:header="720" w:footer="720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numPr>
          <w:ilvl w:val="1"/>
          <w:numId w:val="4"/>
        </w:numPr>
        <w:spacing w:before="132" w:lineRule="auto"/>
        <w:ind w:left="0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ФОРМЫ УЧАСТИЯ В КОНКУРСЕ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Командное соревнование, команда 2 человека.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numPr>
          <w:ilvl w:val="1"/>
          <w:numId w:val="4"/>
        </w:numPr>
        <w:tabs>
          <w:tab w:val="left" w:pos="709"/>
        </w:tabs>
        <w:ind w:left="0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ЗАДАНИЕ ДЛЯ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Конкурс по компетенции Предпринимательство – это командные соревнования (в каждой команде два участника). Содержанием конкурсного задания является Предпринимательская деятельность. Конкурсное задание имеет несколько модулей, выполняемых последовательно. Перед началом соревнований участники разрабатывают и представляют для заочного оценивания экспертному жюри разработанный бизнес-план компании (проекта) с приложениями. В ходе соревнований участники защищают свой бизнес-план по модулям, содержание которых соответствует разделам бизнес-плана.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На протяжении конкурса, решая каждый день различные задачи, участники управляют развитием компаний (проектов) или, в случае зарегистрированных и действующих компаний, осуществляют корректировки их деятельности. На практике это означает, что соревнующиеся команды работают в условиях, приближенных к настоящей работе в офисе, выполняя задачи, указанные в конкурсном задании.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Защита каждого модуля (за исключением модуля А, оценка которого производится оценивающими экспертами заочно) проходит в форме публичной презентации. Во время подготовки презентации участникам разрешен доступ в Интернет, за исключением входа в социальные сети, собственные аккаунты, электронную почту, облачные сервисы. Во время подготовки презентации по модулю Н эти ограничения снимаются.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Пользоваться смартфонами запрещено на протяжении всего конкурса.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На презентацию по всем модулям, кроме модуля Н, отводится 5 минут (модуль Н – 6 минут). Кроме того, после защиты модуля, экспертное жюри может в течение 2-х минут задавать уточняющие вопросы, ответы на которые учитываются при оценке презентации.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Время, отведенное на подготовку презентаций, защиту модуля и вопросы жюри, может быть изменено по решению экспертов чемпионата.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Окончательные аспекты критериев оценки уточняются членами жюри. Оценка производится как в отношении работы модулей, так и в отношении процесса выполнения конкурсного задания. Если участники конкурса не выполняет требования техники безопасности, подвергает опасности себя или других конкурсантов, они могут быть отстранены от конкурса.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Кроме основных модулей, конкурсное задание включает в себя выполнение специального этапа, который представляет собой секретное задание и становится известен участникам и экспертам чемпионата в соответствующий день проведения соревнований. Задание специального этапа направлено на развитие у участников предпринимательских навыков.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Конкурсное задание должно выполняться помодульно. Оценка также происходит от модуля к модулю. На протяжении чемпионата участники могут быть одеты в официальную конкурсную одежду (WSR, фирменная одежда делегации, образовательной организации и пр.). На модуле Н участники презентуют компанию/проект в деловых костюмах.</w:t>
      </w:r>
      <w:r w:rsidDel="00000000" w:rsidR="00000000" w:rsidRPr="00000000">
        <w:br w:type="page"/>
      </w:r>
      <w:r w:rsidDel="00000000" w:rsidR="00000000" w:rsidRPr="00000000">
        <w:rPr>
          <w:sz w:val="24"/>
          <w:szCs w:val="24"/>
          <w:rtl w:val="0"/>
        </w:rPr>
        <w:t xml:space="preserve">МОДУЛИ ЗАДАНИЯ И НЕОБХОДИМОЕ ВРЕМЯ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Модули и время сведены в таблице 1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0" w:before="48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Таблица 1.</w:t>
      </w:r>
    </w:p>
    <w:tbl>
      <w:tblPr>
        <w:tblStyle w:val="Table1"/>
        <w:tblW w:w="9750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5"/>
        <w:gridCol w:w="6030"/>
        <w:gridCol w:w="1680"/>
        <w:gridCol w:w="1455"/>
        <w:tblGridChange w:id="0">
          <w:tblGrid>
            <w:gridCol w:w="585"/>
            <w:gridCol w:w="6030"/>
            <w:gridCol w:w="1680"/>
            <w:gridCol w:w="1455"/>
          </w:tblGrid>
        </w:tblGridChange>
      </w:tblGrid>
      <w:tr>
        <w:trPr>
          <w:trHeight w:val="620" w:hRule="atLeast"/>
        </w:trPr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ind w:left="163"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1" w:lineRule="auto"/>
              <w:ind w:left="132"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п/п</w:t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5" w:lineRule="auto"/>
              <w:ind w:left="1844"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Наименование модуля</w:t>
            </w:r>
          </w:p>
        </w:tc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5" w:lineRule="auto"/>
              <w:ind w:left="63" w:right="88" w:hanging="11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Рабочее время</w:t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ind w:left="153"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Время на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1" w:lineRule="auto"/>
              <w:ind w:left="185"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задание</w:t>
            </w:r>
          </w:p>
        </w:tc>
      </w:tr>
      <w:tr>
        <w:trPr>
          <w:trHeight w:val="740" w:hRule="atLeast"/>
        </w:trPr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217"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75"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Модуль А: Бизнес-план команды – 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% от общей оценки</w:t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5" w:lineRule="auto"/>
              <w:ind w:left="63" w:right="88" w:hanging="11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С-1 заочно</w:t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ind w:left="217"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75"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Модуль В: Наша команда и бизнес-идея. - 8%  от общей оценки</w:t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Rule="auto"/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С1</w:t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8" w:lineRule="auto"/>
              <w:ind w:left="206" w:right="225" w:hanging="11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час</w:t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ind w:left="222"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75"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Модуль C: Целевая группа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% от общей оценке</w:t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2" w:lineRule="auto"/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С1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before="102" w:lineRule="auto"/>
              <w:ind w:left="206" w:right="225" w:hanging="110"/>
              <w:jc w:val="center"/>
              <w:rPr>
                <w:color w:val="000000"/>
                <w:sz w:val="24"/>
                <w:szCs w:val="24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sz w:val="24"/>
                <w:szCs w:val="24"/>
                <w:rtl w:val="0"/>
              </w:rPr>
              <w:t xml:space="preserve">1.5 часа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ind w:left="222"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320" w:lineRule="auto"/>
              <w:ind w:left="75"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Модуль D: Маркетинговое планирование - 17% от общей оценке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2" w:lineRule="auto"/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before="102" w:lineRule="auto"/>
              <w:ind w:left="206" w:right="225" w:hanging="110"/>
              <w:jc w:val="center"/>
              <w:rPr>
                <w:color w:val="000000"/>
                <w:sz w:val="24"/>
                <w:szCs w:val="24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sz w:val="24"/>
                <w:szCs w:val="24"/>
                <w:rtl w:val="0"/>
              </w:rPr>
              <w:t xml:space="preserve">1.5 часа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ind w:left="222"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109"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Модуль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: Планирование рабочего процесса. – 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7%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от общей оценки</w:t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2" w:lineRule="auto"/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С2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before="102" w:lineRule="auto"/>
              <w:ind w:left="206" w:right="225" w:hanging="110"/>
              <w:jc w:val="center"/>
              <w:rPr>
                <w:color w:val="000000"/>
                <w:sz w:val="24"/>
                <w:szCs w:val="24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sz w:val="24"/>
                <w:szCs w:val="24"/>
                <w:rtl w:val="0"/>
              </w:rPr>
              <w:t xml:space="preserve">1.5 часа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ind w:left="222"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320" w:lineRule="auto"/>
              <w:ind w:left="109" w:hanging="11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Модуль F: Устойчивое развите - 5% от общей оценки </w:t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2" w:lineRule="auto"/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before="102" w:lineRule="auto"/>
              <w:ind w:left="206" w:right="225" w:hanging="110"/>
              <w:jc w:val="center"/>
              <w:rPr>
                <w:color w:val="000000"/>
                <w:sz w:val="24"/>
                <w:szCs w:val="24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sz w:val="24"/>
                <w:szCs w:val="24"/>
                <w:rtl w:val="0"/>
              </w:rPr>
              <w:t xml:space="preserve">0.5 часа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ind w:left="222"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320" w:lineRule="auto"/>
              <w:ind w:left="109" w:hanging="11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Модуль G Технико-экономическое обоснование проекта, включая финансовые инструменты и показатели 10% от общей оценки</w:t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2" w:lineRule="auto"/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2" w:lineRule="auto"/>
              <w:ind w:left="206" w:right="225" w:hanging="110"/>
              <w:jc w:val="center"/>
              <w:rPr>
                <w:color w:val="000000"/>
                <w:sz w:val="24"/>
                <w:szCs w:val="24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sz w:val="24"/>
                <w:szCs w:val="24"/>
                <w:rtl w:val="0"/>
              </w:rPr>
              <w:t xml:space="preserve">1 час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ind w:left="222"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320" w:lineRule="auto"/>
              <w:ind w:left="75" w:hanging="11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Модуль Н Продвижение фирмы/проекта 13% от общей оценки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2" w:lineRule="auto"/>
              <w:ind w:left="62" w:right="88" w:hanging="11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2" w:lineRule="auto"/>
              <w:ind w:left="206" w:right="225" w:hanging="110"/>
              <w:jc w:val="center"/>
              <w:rPr>
                <w:color w:val="000000"/>
                <w:sz w:val="24"/>
                <w:szCs w:val="24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sz w:val="24"/>
                <w:szCs w:val="24"/>
                <w:rtl w:val="0"/>
              </w:rPr>
              <w:t xml:space="preserve">1 час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before="5" w:lineRule="auto"/>
        <w:ind w:left="87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1"/>
        <w:spacing w:line="276" w:lineRule="auto"/>
        <w:ind w:left="0"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Модуль А: «Бизнес-план» - 15% от общей оценки</w:t>
      </w:r>
    </w:p>
    <w:p w:rsidR="00000000" w:rsidDel="00000000" w:rsidP="00000000" w:rsidRDefault="00000000" w:rsidRPr="00000000" w14:paraId="0000004E">
      <w:pPr>
        <w:spacing w:line="276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Сроки и форма представления материалов.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Команда разрабатывает бизнес-план, который должен содержать краткую, но понятную информацию и давать ответы на волнующие инвесторов вопросы — каков объем инвестиций, сроки кредитования, гарантии возврата, объем собственных средств, а также другая значимая информация, которая будет оцениваться в соответствующих модулях конкурсного задания. Разделы бизнес-плана должны давать расширенную информацию о проекте и доказывать правильность расчетов.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Компатриот команды должен направить электронную копию Бизнес-плана с обязательными приложениями на электронный адрес главного эксперта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не позднее 09.00 часов дня C-4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Бизнес-план в формате Word;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Обязательные приложения: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Видео ролик в формате mp4/avi/mov, длительностью не более 90 секунд.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Информационно-рекламный плакат в формате .jpeg.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Рецензия в формате .pdf.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Ссылка на опрос в google форме.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Материалы, подтверждающие проведение маркетингового исследования.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Финансовые расчеты в формате MS Excel.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9"/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Копии документов, подтверждающих регистрацию ИП (ООО, регистрацию участников в качестве самозанятых), открытие расчетного счета в банке и движение денежных средств на счете, подтверждающее предпринимательскую деятельность (документы предоставляются в тех случаях, когда ИП, ООО и т.д. зарегистрированы).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Три бумажные копии бизнес-плана каждой участвующей команды должны быть представлены до начала соревнований (не позднее 09.00 часов в День С-1).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Присланные в электронном виде бизнес-планы будут рассматриваться с дня С-4 до дня С-1 экспертами (каждый бизнес-план оценивают не менее 3 экспертов) и будут включать в себя 15% общей оценки команды (заочное оценивание модуля А).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Если бизнес-план будет выслан на почту Главного эксперта с задержкой до 6 часов, то оценивающие эксперты выставят нули за аспекты джаджмент модуля А. Если задержка составит более 6 часов, то команде выставляются нули за все аспекты модуля А. Если одно или более обязательных приложений будет выслано на почту Главного эксперта после 9.00 дня С-4, это влечет за собой обнуление соответствующего аспекта в схеме оценки. 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Материалы следует присылать архивом, название которого должно содержать название проекта или региона (для отборочных соревнований или Финала).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Файлы в архиве следует обозначать следующим образом: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отборочных чемпионатов и Финала: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Пример: БП_Регион_Наименование проекта_Фамилия участника 1_Фамилия участника 2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1.2.</w:t>
        <w:tab/>
        <w:t xml:space="preserve">Требования к формату бизнес-плана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Размер страниц бизнес-плана должен быть 21 х 29,7 см (стандарт А4) и, за исключением титульного листа, все листы должны быть пронумерованы. Бизнес-план должен быть не более 24 страниц, включая титульный лист, формы с примерами, маркетинговые материалы и другие сопроводительные документы. Письменный вариант БП должен быть сшит «пружинами», иметь прозрачную обложку в перед титульным листом и твердую непрозрачную обложку в конце. Все представленные материалы являются частью бизнес-плана. Текст печатается на одной стороне листа, используется сквозная нумерация страниц. Номер страницы проставляется внизу листа справа.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титульном листе бизнес-плана проставляется дата и подписи конкурсантов, подтверждающие авторство.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приложения выносится дополнительный материал, необходимый для подтверждения рассматриваемых положений: таблицы вспомогательных цифровых данных, инструкции, методический материал, компьютерные распечатки, иллюстрации вспомогательного характера, формы отчетности и другие документы. Страницы с приложениями входят в общий объем бизнес-плана.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1.3.</w:t>
        <w:tab/>
        <w:t xml:space="preserve">Проверка авторства текста бизнес-плана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Проверка авторства формулировок бизнес-плана проводится с использованием системы https://www.antiplagiat.ru/ или аналогичной (уточняется на форуме и в Методическом письме). Если процент оригинальности представленного бизнес-плана составляет менее 75%, это влечет за собой обнуление всех оценок за модуль А «Бизнес-план». При оценивании бизнес-плана дополнительно оценивается процент оригинальности, составляющий более 90%.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1.4.</w:t>
        <w:tab/>
        <w:t xml:space="preserve">Требования к оформлению текста бизнес-плана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Текст бизнес-плана должен быть набран шрифтом 12 пп, TimesNewRoman, интервал 1,5 строки. Текст работы должен иметь следующие поля: левое – 30 мм, верхнее, нижнее – 20 мм, правое – 10 мм. Допускается уменьшение межстрочного интервала до 1,0 в таблицах. Также допускается применение диаграмм, построенных на компьютере с помощью программных продуктов. Неприемлемо использовать профессионально сделанные графики и диаграммы (перепечатка из книг, учебников и пр.).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Основной текст работы должен быть выровнен по ширине с отступом 1,25 пп. Следует использовать автоматическую расстановку переносов в словах.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Таблицу в зависимости от ее размера обычно помещают под текстом, в котором впервые дана на нее ссылка. Если размер таблицы превышает одну страницу, то таблицу следует размещать в Приложении. Все таблицы, если их несколько, нумеруются арабскими цифрами, без указания знака номера. Номер размещают в правом верхнем углу над заголовком таблицы после слова «Таблица...», например, Таблица 1, Таблица 2. Таблицы снабжают тематическими заголовками, которые располагаются по центру страницы и пишут с прописной буквы без точки в конце.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качестве иллюстраций в работах могут быть представлены чертежи, схемы, диаграммы, рисунки и т.п. Все иллюстрации обозначают в тексте словом «рисунок». Иллюстрации могут быть выполнены на компьютере, как в черно-белом, так и в цветном варианте. Все иллюстрации должны быть пронумерованы (внизу, по центру). Нумерация сквозная, т.е. через всю работу. Если иллюстрация в работе единственная, то она не нумеруется.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Все иллюстрации необходимо снабжать подписью, располагаемой под иллюстрацией в центре страницы после слов «Рис…».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Рисунки в зависимости от их размера располагают в тексте непосредственно после того абзаца, в котором данный рисунок был впервые упомянут, или на следующей странице, а при необходимости – в приложении. 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1.5. Требования к структуре бизнес-плана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титульном листе должно быть указано название чемпионата, название команды, название компании/проекта (если расходится с названием команды), имена участников команды, дата представления (дата дня С-1) и подписи участников.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Вторая страница – Содержание.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третьей странице размещается «визитка» команды, где должен быть представлен краткий обзор выбранного командой бизнеса, а также описание профессионального опыта, навыков и компетенций каждого члена команды, позволяющих добиться успеха.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Бизнес-план должен содержать следующие разделы: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1.Резюме бизнес-идеи 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2.Описание компании 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3.Целевой рынок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4.Планирование рабочего процесса 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5.Маркетинговый план 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6.Устойчивое развитие  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Технико-экономическое обоснование проекта (включая финансовый план)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1.6. Требования к оформлению финансовых расчетов (финансовая модель)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Данные, приведенные в бизнес-плане в Excel, могут использоваться (в том числе – корректироваться) в ходе работы на площадке.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Динамику необходимо показывать наглядно – схемы, графики, диаграммы.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Горизонт планирования расчетов финансовой модели должен составлять не менее 2=х лет. Финансовые расчеты представляются в виде отдельного файла в формате Excel. Названия листов финансовой модели, выполненной в MS Excel носят рекомендательный характер: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Лист1 - данные для расчетов: % займа, натуральные величины, налоговые ставки региона, ставки дисконтирования и другие показатели необходимые для обоснования расчета.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Лист2 Расчеты инвестиционного капитала (первоначальных затрат)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Лист 3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План на будущие периоды Доходов и расходов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Лист 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Расчеты себестоимости продукции 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Лист 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Факт прошлых периодов Доходов и расходов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Лист 6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Фактический баланс на предыдущую отчетную дату 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Лист 7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Прогнозный баланс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Лист 8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План ДДС будущих периодов Доходов и расходов с указанием необходимого оборотного капитала.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Лист 9 Факт ДДС за прошлые периоды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Лист 10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Показатели деятельности (ОБЯЗАТЕЛЬНЫЕ: полные инвестиции в проект (стартовые+оборотный), простой и дисконтированные периоды окупаемост</w:t>
      </w:r>
      <w:r w:rsidDel="00000000" w:rsidR="00000000" w:rsidRPr="00000000">
        <w:rPr>
          <w:sz w:val="24"/>
          <w:szCs w:val="24"/>
          <w:rtl w:val="0"/>
        </w:rPr>
        <w:t xml:space="preserve">и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NPV, IRR, IP, Рентабельность продаж по проекту, другие значимые показатели)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Ссылки в файле допустимы только внутри таблицы. </w:t>
      </w:r>
      <w:r w:rsidDel="00000000" w:rsidR="00000000" w:rsidRPr="00000000">
        <w:rPr>
          <w:sz w:val="24"/>
          <w:szCs w:val="24"/>
          <w:rtl w:val="0"/>
        </w:rPr>
        <w:t xml:space="preserve">Н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е допускаются внешние ссылки, скрытые ссылки на данные, таблицы, картинки. Если такие ссылки обнаруживаются в таблице MS Excel – значение ячеек полностью заменяются на данные.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1.7. Требования к оформлению информационно – рекламного плаката.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Информационно – рекламный плакат должен отвечать следующим требованиям: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</w:t>
        <w:tab/>
        <w:t xml:space="preserve">Формат А3;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</w:t>
        <w:tab/>
        <w:t xml:space="preserve">Полноцвет (3 и более цветов);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3.</w:t>
        <w:tab/>
        <w:t xml:space="preserve">Назначение – реклама.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4.</w:t>
        <w:tab/>
        <w:t xml:space="preserve">Формат файла .jpeg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5.</w:t>
        <w:tab/>
        <w:t xml:space="preserve">Размер не более 150 Мб.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Рекламный плакат должен содержать визуальный образ продукта (услуги), логотип, слоган, актуальные контакты.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76" w:lineRule="auto"/>
        <w:ind w:firstLine="709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1.8. Требования к формату и содержанию видеоролика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Формат и требования к видеоролику:</w:t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</w:t>
        <w:tab/>
        <w:t xml:space="preserve">В видеоролике должна присутствовать начальная заставка не менее 3 секунд (название проекта и фио авторов). </w:t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</w:t>
        <w:tab/>
        <w:t xml:space="preserve">В видеоролике должна присутствовать конечная заставка не менее 3 секунд (название проекта + Контакты). </w:t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3.</w:t>
        <w:tab/>
        <w:t xml:space="preserve">Размер ролика не должен превышать 150 Мб, продолжительность – не более 90 сек.</w:t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4.</w:t>
        <w:tab/>
        <w:t xml:space="preserve">Формат ролика только в формате mp4/avi/mov.</w:t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5.</w:t>
        <w:tab/>
        <w:t xml:space="preserve">В ролике должна присутствовать ссылка на правомерность используемых аудио и видео материалов.</w:t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76" w:lineRule="auto"/>
        <w:ind w:firstLine="709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1.9. Требования к внешней рецензии</w:t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качестве приложения к бизнес-плану представляется внешняя рецензия сторонней организации, эксперты которой компетентны в теме разработанного проекта (бизнес-плана) на предмет реалистичности и реализуемости данного проекта (рекомендуемый объем – до 1 страницы шрифт 12 пп, TimesNewRoman, интервал 1,5 строки). Рецензию выдает организация, имеющая право на рецензирование бизнес-планов (Торгово – промышленная палата, Союз промышленников и предпринимателей России и т.п.). Рецензия не входит в общий объем бизнес-плана и предоставляется отдельно.</w:t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76" w:lineRule="auto"/>
        <w:ind w:firstLine="709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1.10. Требования к оформлению ссылки на google-опрос</w:t>
      </w:r>
    </w:p>
    <w:p w:rsidR="00000000" w:rsidDel="00000000" w:rsidP="00000000" w:rsidRDefault="00000000" w:rsidRPr="00000000" w14:paraId="000000A3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Ссылка на google-опрос предоставляется в виде отдельного файла в формате MS Word, содержащего рабочую ссылку. Опрос должен содержать вопросы, необходимые и актуальные для данного статистического исследования. Вопросы должны быть составлены таким образом, чтобы исключить сомнения, что ответы на них, могут быть использованы во вред опрашиваемому.</w:t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Приветствуется применение в ходе работы над проектом и разработки бизнес- плана софта 1С в малом бизнесе.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76" w:lineRule="auto"/>
        <w:ind w:firstLine="709"/>
        <w:jc w:val="both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Особые правила: Предоставление заведомо ложной или недостоверной информации влечет за собой обнуление оценок за соответствующие аспекты! </w: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Style w:val="Heading1"/>
        <w:spacing w:line="276" w:lineRule="auto"/>
        <w:ind w:left="0"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Модуль В: «Наша команда и бизнес-идея» - 8% от общей оценки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рамках данного модуля конкурсантам предстоит описать и обосновать профессиональный опыт, навыки и компетенции каждого участника, показать и обосновать распределение ролей и функциональных обязанностей участников команды, определить направления личного профессионального роста конкурсантов. Следует показать, каким образом команде удалось выйти на конкретную бизнес-идею, представить метод(ы) генерации бизнес-идеи и обосновать свой выбор данного(х) метода(ов).</w:t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этом модуле предъявляется непосредственно сама бизнес-идея (в составе бизнес-концепции), метод оценки реализуемости бизнес-идеи и обоснование применения данного метода. Кроме того, необходимо указать не менее 3 конкурентных преимуществ вашей фирмы (проекта), продукции или услуги. </w:t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Команда должна проанализировать рынок и отрасль, к которым относится выбранная бизнес-идея, с использованием методики «5 сил Портера» или подобной.</w:t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качестве ключевой модели рекомендуется использование бизнес – модели Александра Остервальдера, которую необходимо составить для собственной фирмы (проекта).</w:t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Требуется как можно более точно и полно описать продукт или услугу – их качественные характеристики, назначение и область применения, конкурентоспособность, необходимость лицензирования, степень готовности к выпуску, очевидную полезность (выгоду) для потребителя. Если вы производите и реализуете не один вид продукции, то возможно описание по группам товаров.</w:t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Необходимо показать процесс принятия решения в команде, способы разрешения конфликтов.</w:t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Постарайтесь продуктивно использовать время, выделенное на презентацию итогов работы по модулю В: следует уложиться в отведенное время и использовать его максимально полно. В ходе презентации конкурсантам необходимо продемонстрировать свои ораторские, коммуникативные способности, использование (в разумных объемах) разнообразных средств и приемов презентации (технические средства презентации, раздаточный материал, флипп-чарт и пр.). </w:t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Цели этого модуля – оценить навыки и компетенции участников команды при составлении бизнес-плана, а также способность публично продемонстрировать свою бизнес-идею; определить авторства членов команд при составлении бизнес-плана, глубину понимания и компетентности членов команды в предложенном бизнесе.</w:t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Предоставление заведомо ложной информации влечет за собой обнуление оценок за соответствующие критерии.</w:t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  <w:sectPr>
          <w:type w:val="continuous"/>
          <w:pgSz w:h="16840" w:w="11900" w:orient="portrait"/>
          <w:pgMar w:bottom="1134" w:top="1134" w:left="1701" w:right="851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Style w:val="Heading1"/>
        <w:spacing w:line="276" w:lineRule="auto"/>
        <w:ind w:left="0"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Модуль C1: «Целевая группа» - 10% от общей оценки</w:t>
      </w:r>
    </w:p>
    <w:p w:rsidR="00000000" w:rsidDel="00000000" w:rsidP="00000000" w:rsidRDefault="00000000" w:rsidRPr="00000000" w14:paraId="000000B7">
      <w:pPr>
        <w:pStyle w:val="Heading1"/>
        <w:spacing w:line="276" w:lineRule="auto"/>
        <w:ind w:left="0"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Конкурсанты должны обосновать важность определения целевой аудитории, описать и применить широко известные методики сегментирования, определить и детально описать целевую(ые) группу(ы) для собственного бизнеса (несколько качественных характеристик), на которые будет нацелен продукт/услуга компании, а также определенную сферу бизнеса, к которой относится выбранная целевая аудитория (В2С, В2В или В2G). Кроме этого, должны быть представлены основные характеристики типичного клиента (портрет), причем такие, которые включены в бизнес-концепцию.</w:t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Участники команды должны, с использованием официальных статистических данных (наличие на слайдах рабочих ссылок) и коммуникационных приемов (обязательно наличие анкеты и ссылки на базу данных исследования в google-форме), максимально точно и достоверно оценить размер всей потенциальной целевой аудитории, на которую направлены производимые компанией продукты/услуги в количественном отношении и стоимостном выражении, а также обосновать и определить размер прогнозируемой доли от общей величины целевой аудитории, которую планирует занять компания в процессе своей деятельности.  Необходимо также, опираясь на маркетинговый бюджет и проведенные рекламные к</w:t>
      </w:r>
      <w:r w:rsidDel="00000000" w:rsidR="00000000" w:rsidRPr="00000000">
        <w:rPr>
          <w:sz w:val="24"/>
          <w:szCs w:val="24"/>
          <w:rtl w:val="0"/>
        </w:rPr>
        <w:t xml:space="preserve">а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мпании, определить фактический и планируемый охват целевой аудитории, если компания уже осуществляет свою деятельность.  </w:t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Результаты работы над модулем представляются в виде публичной презентации. Необходимо постараться продуктивно использовать время, выделенное на презентацию итогов работы по модулю С.</w:t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b w:val="1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Предоставление заведомо ложной информации влечет за собой обнуление оценок за соответствующие критерии.</w:t>
        <w:br w:type="textWrapping"/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Специальный этап С2 - 5% от общей оценки</w:t>
      </w:r>
    </w:p>
    <w:p w:rsidR="00000000" w:rsidDel="00000000" w:rsidP="00000000" w:rsidRDefault="00000000" w:rsidRPr="00000000" w14:paraId="000000BC">
      <w:pP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Специальный этап носит «спонтанный» характер и требует оперативного реагирования участников,  а также глубокие знания собственного проекта, представленного в бизнес-плане. </w:t>
      </w:r>
    </w:p>
    <w:p w:rsidR="00000000" w:rsidDel="00000000" w:rsidP="00000000" w:rsidRDefault="00000000" w:rsidRPr="00000000" w14:paraId="000000BE">
      <w:pP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Команды должны быстро адаптироваться к такому заданиям жюри. Этот специальный этап может отличаться от общей темы конкурса. Однако является универсальным, и требует предпринимательских навыков. Выполнение специального модуля дает представление о творческом потенциале команд для решения проблем и их компетентности.</w:t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Результаты выполненного специального этапа предоставляются экспертам для оценивания в электронном виде без публичной защиты.</w:t>
      </w:r>
      <w:r w:rsidDel="00000000" w:rsidR="00000000" w:rsidRPr="00000000">
        <w:rPr>
          <w:color w:val="000000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Модуль D1: «Маркетинговое планирование» - 10% от общей оценки</w:t>
      </w:r>
    </w:p>
    <w:p w:rsidR="00000000" w:rsidDel="00000000" w:rsidP="00000000" w:rsidRDefault="00000000" w:rsidRPr="00000000" w14:paraId="000000C0">
      <w:pPr>
        <w:pStyle w:val="Heading1"/>
        <w:spacing w:line="276" w:lineRule="auto"/>
        <w:ind w:left="0" w:firstLine="709"/>
        <w:jc w:val="both"/>
        <w:rPr>
          <w:sz w:val="24"/>
          <w:szCs w:val="24"/>
        </w:rPr>
      </w:pPr>
      <w:bookmarkStart w:colFirst="0" w:colLast="0" w:name="_heading=h.9qq7s71eyva6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Участникам, с помощью методов стратегического анализа, необходимо определить измеримые и достижимые цели и задачи в области маркетинга, проанализировать конкурентную среду по нескольким показателям, определить и обосновать выбор маркетинговой стратегии, выбрать каналы продвижения и сбыта, а также стратегию ценообразования.</w:t>
      </w:r>
    </w:p>
    <w:p w:rsidR="00000000" w:rsidDel="00000000" w:rsidP="00000000" w:rsidRDefault="00000000" w:rsidRPr="00000000" w14:paraId="000000C2">
      <w:pP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Конкурсанты должны определить маркетинговые инструменты, применимые на протяжении всего жизненного цикла клиента, и наиболее эффективные для данного продукта/услуги и целевой аудитории. </w:t>
      </w:r>
    </w:p>
    <w:p w:rsidR="00000000" w:rsidDel="00000000" w:rsidP="00000000" w:rsidRDefault="00000000" w:rsidRPr="00000000" w14:paraId="000000C3">
      <w:pP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планировании маркетинговых мероприятий необходимо принимать в расчет формулу 4 «Р», объяснять её применительно к выбранному продукту/услуге, анализировать взаимовлияние элементов этой модели.</w:t>
      </w:r>
    </w:p>
    <w:p w:rsidR="00000000" w:rsidDel="00000000" w:rsidP="00000000" w:rsidRDefault="00000000" w:rsidRPr="00000000" w14:paraId="000000C4">
      <w:pP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Команде надо разработать детальный маркетинговый план для этапа запуска и дальнейших этапов функционирования проекта, который отражает выбранную маркетинговую стратегию.</w:t>
      </w:r>
    </w:p>
    <w:p w:rsidR="00000000" w:rsidDel="00000000" w:rsidP="00000000" w:rsidRDefault="00000000" w:rsidRPr="00000000" w14:paraId="000000C5">
      <w:pP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соответствии со стратегией участникам необходимо выбрать и обосновать рекламную модель, а также определить и обосновать основные рекламные мероприятия, уметь рассчитывать их стоимость и анализировать эффективность их применения с помощью разнообразных методов оценки, корректно определять маркетинговый бюджет.</w:t>
      </w:r>
    </w:p>
    <w:p w:rsidR="00000000" w:rsidDel="00000000" w:rsidP="00000000" w:rsidRDefault="00000000" w:rsidRPr="00000000" w14:paraId="000000C6">
      <w:pP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Кроме того, важно правильно распределить функциональные обязанности членов команды в области маркетинга, возможность передачи некоторых функций на аутсорсинг или обосновать отсутствие такой необходимости.</w:t>
      </w:r>
    </w:p>
    <w:p w:rsidR="00000000" w:rsidDel="00000000" w:rsidP="00000000" w:rsidRDefault="00000000" w:rsidRPr="00000000" w14:paraId="000000C7">
      <w:pP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демонстрации результатов маркетинговых исследований оценивается, выбранный метод исследования, соответствие метода исследования и задач маркетинга, показатели квотности и репрезентативности выборки исследования при анализе результатов. Обязательно наличие анкеты и ссылки на базу данных исследования в google форме. Для обеспечения репрезентативности выборки, необходимо, чтобы в опросе приняло участие не менее 1% от доли, которую компания планирует занять на выбранном рынке. Приветствуется проведение полевых исследований, глубинных интервью и других коммуникативных способов выявления предпочтений целевой аудитории.</w:t>
      </w:r>
    </w:p>
    <w:p w:rsidR="00000000" w:rsidDel="00000000" w:rsidP="00000000" w:rsidRDefault="00000000" w:rsidRPr="00000000" w14:paraId="000000C8">
      <w:pP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Фактически реализованная рекламная компания представляется, в виде анализа результатов запланированной стоимости на привлечение 1 клиента и других показателей эффективности.</w:t>
      </w:r>
    </w:p>
    <w:p w:rsidR="00000000" w:rsidDel="00000000" w:rsidP="00000000" w:rsidRDefault="00000000" w:rsidRPr="00000000" w14:paraId="000000C9">
      <w:pP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Предоставление заведомо ложной информации влечет за собой обнуление оценок за соответствующие критерии.</w:t>
      </w:r>
    </w:p>
    <w:p w:rsidR="00000000" w:rsidDel="00000000" w:rsidP="00000000" w:rsidRDefault="00000000" w:rsidRPr="00000000" w14:paraId="000000CA">
      <w:pP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Результаты работы над модулем представляются в виде публичной презентации</w:t>
      </w:r>
    </w:p>
    <w:p w:rsidR="00000000" w:rsidDel="00000000" w:rsidP="00000000" w:rsidRDefault="00000000" w:rsidRPr="00000000" w14:paraId="000000CB">
      <w:pP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Необходимо постараться продуктивно использовать время, выделенное на презентацию итогов работы по модулю Е. </w:t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76" w:lineRule="auto"/>
        <w:ind w:firstLine="709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Специальный этап D2 - 5% от общей оценки</w:t>
      </w:r>
    </w:p>
    <w:p w:rsidR="00000000" w:rsidDel="00000000" w:rsidP="00000000" w:rsidRDefault="00000000" w:rsidRPr="00000000" w14:paraId="000000CE">
      <w:pP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Специальный этап носит «спонтанный» характер и требует оперативного реагирования участников,  а также глубокие знания собственного проекта, представленного в бизнес-плане. </w:t>
      </w:r>
    </w:p>
    <w:p w:rsidR="00000000" w:rsidDel="00000000" w:rsidP="00000000" w:rsidRDefault="00000000" w:rsidRPr="00000000" w14:paraId="000000D0">
      <w:pP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Команды должны быстро адаптироваться к такому заданиям жюри. Этот специальный этап может отличаться от общей темы конкурса. Однако является универсальным, и требует предпринимательских навыков. Выполнение специального модуля дает представление о творческом потенциале команд для решения проблем и их компетентности.</w:t>
      </w:r>
    </w:p>
    <w:p w:rsidR="00000000" w:rsidDel="00000000" w:rsidP="00000000" w:rsidRDefault="00000000" w:rsidRPr="00000000" w14:paraId="000000D1">
      <w:pP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Результаты выполненного специального этапа предоставляются экспертам для оценивания в электронном виде без публичной защиты.</w:t>
        <w:br w:type="textWrapping"/>
      </w:r>
    </w:p>
    <w:p w:rsidR="00000000" w:rsidDel="00000000" w:rsidP="00000000" w:rsidRDefault="00000000" w:rsidRPr="00000000" w14:paraId="000000D2">
      <w:pPr>
        <w:pStyle w:val="Heading1"/>
        <w:spacing w:line="276" w:lineRule="auto"/>
        <w:ind w:left="0"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Модуль E1: «Планирование рабочего процесса» - 17% от общей оценки</w:t>
      </w:r>
    </w:p>
    <w:p w:rsidR="00000000" w:rsidDel="00000000" w:rsidP="00000000" w:rsidRDefault="00000000" w:rsidRPr="00000000" w14:paraId="000000D3">
      <w:pPr>
        <w:pStyle w:val="Heading1"/>
        <w:spacing w:line="276" w:lineRule="auto"/>
        <w:ind w:left="0"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Этот модуль направлен на визуализацию бизнес-процессов с использованием различных современных методик, приемов структурирования и нотаций, приветствуется применение специализированных программных продуктов. </w:t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Необходимо определить и обосновать выбор ключевых бизнес-процессов, выстроить их в логичной последовательности. При планировании реализации своего проекта необходимо применять методики (концепции) управления производством (бизнес-процессами), а также пояснять основные моменты этой методики на собственном примере. Также необходимо определить потребность в различных ресурсах для, как минимум, ключевых бизнес-процессов.</w:t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Участники должны показать и обосновать позитивный и негативный </w:t>
      </w:r>
      <w:r w:rsidDel="00000000" w:rsidR="00000000" w:rsidRPr="00000000">
        <w:rPr>
          <w:sz w:val="24"/>
          <w:szCs w:val="24"/>
          <w:rtl w:val="0"/>
        </w:rPr>
        <w:t xml:space="preserve">сценарии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развития бизнеса, разработать антикризисный план и наметить возможные пути выхода из проекта.</w:t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 определении бизнес-процессов, необходимо отнести их к определенным группам: управляющие, операционные и поддерживающие, а также представить показатели их результативности и эффективности.</w:t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этом модуле также определяется организационная структура компании и возможность изменения организационной структуры на различных этапах бизнес-проекта (этап запуска, этап роста и этап устойчивого развития бизнеса).</w:t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модуле оцениваются фактически примененные методы и средства управления и структурирования бизнес-процессов. Для планирования реализации проекта используйте информационные программные средства (MS Project, Expert Project и т.п.)</w:t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Результаты работы над модулем представляются в виде презентации. Необходимо постараться продуктивно использовать время, выделенное на презентацию итогов работы по модулю D. </w:t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b w:val="1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Предоставление заведомо ложной информации влечет за собой обнуление оценок за соответствующие критерии.</w:t>
        <w:br w:type="textWrapping"/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Специальный этап E2 - 5% от общей оценки</w:t>
      </w:r>
    </w:p>
    <w:p w:rsidR="00000000" w:rsidDel="00000000" w:rsidP="00000000" w:rsidRDefault="00000000" w:rsidRPr="00000000" w14:paraId="000000DC">
      <w:pP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Специальный этап носит «спонтанный» характер и требует оперативного реагирования участников,  а также глубокие знания собственного проекта, представленного в бизнес-плане. </w:t>
      </w:r>
    </w:p>
    <w:p w:rsidR="00000000" w:rsidDel="00000000" w:rsidP="00000000" w:rsidRDefault="00000000" w:rsidRPr="00000000" w14:paraId="000000DE">
      <w:pP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Команды должны быстро адаптироваться к такому заданиям жюри. Этот специальный этап может отличаться от общей темы конкурса. Однако является универсальным, и требует предпринимательских навыков. Выполнение специального модуля дает представление о творческом потенциале команд для решения проблем и их компетентности.</w:t>
      </w:r>
    </w:p>
    <w:p w:rsidR="00000000" w:rsidDel="00000000" w:rsidP="00000000" w:rsidRDefault="00000000" w:rsidRPr="00000000" w14:paraId="000000DF">
      <w:pP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Результаты выполненного специального этапа предоставляются экспертам для оценивания в электронном виде без публичной защиты.</w:t>
      </w:r>
    </w:p>
    <w:p w:rsidR="00000000" w:rsidDel="00000000" w:rsidP="00000000" w:rsidRDefault="00000000" w:rsidRPr="00000000" w14:paraId="000000E0">
      <w:pPr>
        <w:pStyle w:val="Heading1"/>
        <w:spacing w:line="276" w:lineRule="auto"/>
        <w:ind w:left="0"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Style w:val="Heading1"/>
        <w:spacing w:line="276" w:lineRule="auto"/>
        <w:ind w:left="0"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Модуль F: «Устойчивое развитие» - 5% от общей оценки</w:t>
        <w:br w:type="textWrapping"/>
      </w:r>
    </w:p>
    <w:p w:rsidR="00000000" w:rsidDel="00000000" w:rsidP="00000000" w:rsidRDefault="00000000" w:rsidRPr="00000000" w14:paraId="000000E2">
      <w:pPr>
        <w:pStyle w:val="Heading1"/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Данный модуль включает раздел «Устойчивое развитие» Спецификации стандартов.</w:t>
      </w:r>
    </w:p>
    <w:p w:rsidR="00000000" w:rsidDel="00000000" w:rsidP="00000000" w:rsidRDefault="00000000" w:rsidRPr="00000000" w14:paraId="000000E3">
      <w:pPr>
        <w:pStyle w:val="Heading1"/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Участникам необходимо исследовать возможности применения принципов устойчивого развития в деятельности, необходимость кратко-, средне- и долгосрочных целей для устойчивого развития бизнеса. </w:t>
      </w:r>
    </w:p>
    <w:p w:rsidR="00000000" w:rsidDel="00000000" w:rsidP="00000000" w:rsidRDefault="00000000" w:rsidRPr="00000000" w14:paraId="000000E4">
      <w:pPr>
        <w:pStyle w:val="Heading1"/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В этом контексте необходима разработка и реализация стратегий развития бизнеса с разумным подходом к экологическим, социальным и экономическим факторам. </w:t>
      </w:r>
    </w:p>
    <w:p w:rsidR="00000000" w:rsidDel="00000000" w:rsidP="00000000" w:rsidRDefault="00000000" w:rsidRPr="00000000" w14:paraId="000000E5">
      <w:pPr>
        <w:pStyle w:val="Heading1"/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Необходимо оценить воздействие проекта на окружающую среду, предусмотреть меры по защите от негативного воздействия, определить класс производственных и бытовых отходов, потребность в переработке и утилизации сырья или отходов.  </w:t>
      </w:r>
    </w:p>
    <w:p w:rsidR="00000000" w:rsidDel="00000000" w:rsidP="00000000" w:rsidRDefault="00000000" w:rsidRPr="00000000" w14:paraId="000000E6">
      <w:pPr>
        <w:pStyle w:val="Heading1"/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Кроме этого, необходимо выяснить, является ли предлагаемый продукт или услуга, подходящими с точки зрения устойчивости спроса, оценить устойчивость и выработать меры по поддержанию её на высоком уровне.</w:t>
      </w:r>
    </w:p>
    <w:p w:rsidR="00000000" w:rsidDel="00000000" w:rsidP="00000000" w:rsidRDefault="00000000" w:rsidRPr="00000000" w14:paraId="000000E7">
      <w:pPr>
        <w:pStyle w:val="Heading1"/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Важным является также экономический аспект устойчивого развития, в том числе, расчет точки безубыточности.</w:t>
      </w:r>
    </w:p>
    <w:p w:rsidR="00000000" w:rsidDel="00000000" w:rsidP="00000000" w:rsidRDefault="00000000" w:rsidRPr="00000000" w14:paraId="000000E8">
      <w:pPr>
        <w:pStyle w:val="Heading1"/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Необходимо продумать кадровую политику своего предприятия, создание благоприятных условий для труда и отдыха сотрудников, их профессионального развития.</w:t>
      </w:r>
    </w:p>
    <w:p w:rsidR="00000000" w:rsidDel="00000000" w:rsidP="00000000" w:rsidRDefault="00000000" w:rsidRPr="00000000" w14:paraId="000000E9">
      <w:pPr>
        <w:pStyle w:val="Heading1"/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Кроме того, будет оцениваться наличие всеобъемлющего плана по устойчивому развитию бизнеса, его реалистичность, подробное описание действий и фактические примеры, реализованные при организации бизнеса.</w:t>
      </w:r>
    </w:p>
    <w:p w:rsidR="00000000" w:rsidDel="00000000" w:rsidP="00000000" w:rsidRDefault="00000000" w:rsidRPr="00000000" w14:paraId="000000EA">
      <w:pPr>
        <w:pStyle w:val="Heading1"/>
        <w:spacing w:line="276" w:lineRule="auto"/>
        <w:ind w:left="0" w:firstLine="709"/>
        <w:jc w:val="both"/>
        <w:rPr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В этот модуль включается публичная презентация.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Style w:val="Heading1"/>
        <w:spacing w:line="276" w:lineRule="auto"/>
        <w:ind w:left="0"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Style w:val="Heading1"/>
        <w:spacing w:line="276" w:lineRule="auto"/>
        <w:ind w:left="0"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Style w:val="Heading1"/>
        <w:spacing w:line="276" w:lineRule="auto"/>
        <w:ind w:left="0"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Модуль G: «Технико-экономическое обоснование проекта, включая финансовые показатели» - 10% от общей оценки</w:t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этом модуле компания должна провести точные расчеты на период не менее 2 лет, доказывающие, что задуманный бизнес будет иметь прибыль.</w:t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Необходимо обосновать и аргументировать способы финансирования вашего проекта на стартовом этапе. Следует составить бюджет инвестиций, отдельно выделяя расходы стартового этапа, приобретение объектов основных средств, формирование оборотного капитала, а также определить источники финансирования – собственные средств и внешние источники. В отношении заемного капитала следует учесть его стоимость и условия возврата.</w:t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Участникам необходимо представить и обосновать свой способ ведения бухгалтерского учета.</w:t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этом модуле необходимо использовать результаты маркетинговых исследований по проявлению целевой группы/целевых групп при определении прогнозных объемов продаж. </w:t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рамках данного модуля участники должны составить бюджет доходов и расходов, бюджет движения денежных средств, прогнозный баланс, а также рассчитать и интерпретировать значимые экономические показатели (PP, DPP, NPV, IRR, IP и другие).</w:t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 расчете стоимости продукции желательно воспользоваться как минимум одной из известных моделей калькуляции расходов (direct-costing, absortion costing, standard-costing, activity based costing и пр.), а при обосновании ценообразования – моделями или методами ценообразования (затратные, рыночные, параметрические и пр. методы).</w:t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Расчеты должны быть реалистичными и правильно выполненными. Кроме того, необходимо обратить внимание на практико-ориентированность, с одной стороны, и на точные расчеты, с другой стороны.  </w:t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Расчеты по прибылям и убыткам должны быть реалистичными и правильно выполненными. Все расчёты выполняются в электронных таблицах</w:t>
      </w:r>
      <w:r w:rsidDel="00000000" w:rsidR="00000000" w:rsidRPr="00000000">
        <w:rPr>
          <w:color w:val="ff00ff"/>
          <w:sz w:val="24"/>
          <w:szCs w:val="24"/>
          <w:rtl w:val="0"/>
        </w:rPr>
        <w:t xml:space="preserve">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Участники должны быть осведомлены о том, что жюри обращает внимание на понимание расчетов стоимости и проверяет, являются ли цифры реалистичными.</w:t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Оценивающие эксперты проверяют корректность расчетов финансовых показателей, ориентируясь на презентацию, финансовую модель и данные, указанные в бизнес-плане.</w:t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Предоставление заведомо ложной информации влечет за собой обнуление оценок за соответствующие критерии.</w:t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Защита модуля проводится в форме публичной презентации. Необходимо постараться продуктивно использовать время, выделенное на презентацию итогов работы по модулю G.</w:t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Style w:val="Heading1"/>
        <w:spacing w:line="276" w:lineRule="auto"/>
        <w:ind w:left="0"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Модуль H: «Презентация компании (фирмы/проекта) и её продвижение» - 15% от общей оценки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Презентация компании должна включать наиболее важные аспекты всех модулей (от А до Н).</w:t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Оформление слайдов презентации в PowerPoint должно соответствовать сложившимся правилам оформления деловых презентаций (разумное количество шрифтов и размера шрифта, продуктивное использование пространства слайда и др.). Слайды презентации должны быть читаемы и комфортны для зрительного восприятия. В данном модуле необходимо продемонстрировать то, каким образом компания будет осуществлять коммуникации со своими деловыми партнерами и клиентами, умения пользоваться различными программными средствами для целей бизнеса. </w:t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Участники должны продемонстрировать умения владения навыками деловой переписки, составления коммерческих предложений, с помощью которых они планируют или осуществляют свои коммуникации. </w:t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Необходимо показать, каким образом участники проекта используют в своей деятельности социальные сети, электронную почту. Экспертное жюри проверяет и оценивает полноту и качество контента представленных аккаунтов в социальных сетях, наполненность, информативность сайтов компаний/проектов. </w:t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Приветствуется работа по продвижению и развитию собственной компании/проекта в рамках проведения регионального чемпионата (отборочных соревнований/Финала НЧ), которая должна быть подтверждена соответствующими документами (протоколами и соглашениями о намерениях, заключенными договорами и т.д.).</w:t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Необходимо продемонстрировать реальные прототипы своей продукции/услуги.</w:t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Постарайтесь продуктивно использовать время, выделенное на презентацию итогов работы по модулю Н: следует уложиться в отведенное время и использовать его максимально полно. </w:t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Оценка презентации строится на основе учета способности участников приводить доводы и обоснованные аргументы, демонстрировать грамотную устную речь и командную работу, а также способность быстро реагировать на различные форс-мажорные обстоятельства..</w:t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Отдельным критерием в презентации является </w:t>
      </w:r>
      <w:r w:rsidDel="00000000" w:rsidR="00000000" w:rsidRPr="00000000">
        <w:rPr>
          <w:sz w:val="24"/>
          <w:szCs w:val="24"/>
          <w:rtl w:val="0"/>
        </w:rPr>
        <w:t xml:space="preserve">саморефлексия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– способность участников отслеживать собственное движение в рамках чемпионата, учитывать и исправлять ошибки, на которые указало экспертное жюри.</w:t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Отдельно оценивается дресс-код участников команды. Рекомендованная форма одежды при защите модуля Н: для мужчин - официальный пиджак или жакет черного/синего/серого цвета, черные/синие/серые брюки, белая рубашка, черный/синий/серый галстук без рисунка или с символикой WSR, черные/синие/серые носки и черные/синие ботинки. Для женщин: официальный пиджак или куртка темного цвета, черные/синие/серые брюки или юбка до колен, белая блузка без воротника или с небольшим воротником, черные или телесного цвета бесшовные колготки (чулки) и черные/синие туфли.</w:t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Предоставление заведомо ложной информации влечет за собой обнуление оценок за соответствующие критерии.</w:t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Style w:val="Heading1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КРИТЕРИИ ОЦЕНКИ</w:t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right="461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данном разделе определены критерии оценки и количество начисляемых баллов (субъективные и объективные) таблица 2. Общее количество баллов задания/модуля по всем критериям оценки составляет </w:t>
      </w:r>
      <w:r w:rsidDel="00000000" w:rsidR="00000000" w:rsidRPr="00000000">
        <w:rPr>
          <w:sz w:val="24"/>
          <w:szCs w:val="24"/>
          <w:rtl w:val="0"/>
        </w:rPr>
        <w:t xml:space="preserve">100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2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Таблица 2.</w:t>
      </w:r>
    </w:p>
    <w:tbl>
      <w:tblPr>
        <w:tblStyle w:val="Table2"/>
        <w:tblW w:w="9918.0" w:type="dxa"/>
        <w:jc w:val="left"/>
        <w:tblInd w:w="0.0" w:type="dxa"/>
        <w:tblBorders>
          <w:top w:color="acb9ca" w:space="0" w:sz="4" w:val="single"/>
          <w:left w:color="acb9ca" w:space="0" w:sz="4" w:val="single"/>
          <w:bottom w:color="acb9ca" w:space="0" w:sz="4" w:val="single"/>
          <w:right w:color="acb9ca" w:space="0" w:sz="4" w:val="single"/>
          <w:insideH w:color="acb9ca" w:space="0" w:sz="4" w:val="single"/>
          <w:insideV w:color="acb9ca" w:space="0" w:sz="4" w:val="single"/>
        </w:tblBorders>
        <w:tblLayout w:type="fixed"/>
        <w:tblLook w:val="0400"/>
      </w:tblPr>
      <w:tblGrid>
        <w:gridCol w:w="926"/>
        <w:gridCol w:w="4598"/>
        <w:gridCol w:w="1842"/>
        <w:gridCol w:w="1560"/>
        <w:gridCol w:w="992"/>
        <w:tblGridChange w:id="0">
          <w:tblGrid>
            <w:gridCol w:w="926"/>
            <w:gridCol w:w="4598"/>
            <w:gridCol w:w="1842"/>
            <w:gridCol w:w="1560"/>
            <w:gridCol w:w="992"/>
          </w:tblGrid>
        </w:tblGridChange>
      </w:tblGrid>
      <w:tr>
        <w:tc>
          <w:tcPr>
            <w:gridSpan w:val="2"/>
            <w:shd w:fill="acb9ca" w:val="clear"/>
          </w:tcPr>
          <w:p w:rsidR="00000000" w:rsidDel="00000000" w:rsidP="00000000" w:rsidRDefault="00000000" w:rsidRPr="00000000" w14:paraId="0000010E">
            <w:pPr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Критерий</w:t>
            </w:r>
          </w:p>
        </w:tc>
        <w:tc>
          <w:tcPr>
            <w:gridSpan w:val="3"/>
            <w:shd w:fill="acb9ca" w:val="clear"/>
          </w:tcPr>
          <w:p w:rsidR="00000000" w:rsidDel="00000000" w:rsidP="00000000" w:rsidRDefault="00000000" w:rsidRPr="00000000" w14:paraId="00000110">
            <w:pPr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Баллы</w:t>
            </w:r>
          </w:p>
        </w:tc>
      </w:tr>
      <w:tr>
        <w:tc>
          <w:tcPr>
            <w:shd w:fill="323e4f" w:val="clear"/>
          </w:tcPr>
          <w:p w:rsidR="00000000" w:rsidDel="00000000" w:rsidP="00000000" w:rsidRDefault="00000000" w:rsidRPr="00000000" w14:paraId="00000113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114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Критерий</w:t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115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Мнение судей</w:t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116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Измеримая</w:t>
            </w:r>
          </w:p>
        </w:tc>
        <w:tc>
          <w:tcPr>
            <w:shd w:fill="323e4f" w:val="clear"/>
          </w:tcPr>
          <w:p w:rsidR="00000000" w:rsidDel="00000000" w:rsidP="00000000" w:rsidRDefault="00000000" w:rsidRPr="00000000" w14:paraId="00000117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Всего</w:t>
            </w:r>
          </w:p>
        </w:tc>
      </w:tr>
      <w:tr>
        <w:tc>
          <w:tcPr>
            <w:shd w:fill="323e4f" w:val="clear"/>
          </w:tcPr>
          <w:p w:rsidR="00000000" w:rsidDel="00000000" w:rsidP="00000000" w:rsidRDefault="00000000" w:rsidRPr="00000000" w14:paraId="00000118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Бизнес-план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</w:tr>
      <w:tr>
        <w:tc>
          <w:tcPr>
            <w:shd w:fill="323e4f" w:val="clear"/>
          </w:tcPr>
          <w:p w:rsidR="00000000" w:rsidDel="00000000" w:rsidP="00000000" w:rsidRDefault="00000000" w:rsidRPr="00000000" w14:paraId="0000011D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Наша команда и бизнес-идея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</w:tr>
      <w:tr>
        <w:tc>
          <w:tcPr>
            <w:shd w:fill="323e4f" w:val="clear"/>
          </w:tcPr>
          <w:p w:rsidR="00000000" w:rsidDel="00000000" w:rsidP="00000000" w:rsidRDefault="00000000" w:rsidRPr="00000000" w14:paraId="00000122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Целевая группа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</w:tr>
      <w:tr>
        <w:tc>
          <w:tcPr>
            <w:shd w:fill="323e4f" w:val="clear"/>
          </w:tcPr>
          <w:p w:rsidR="00000000" w:rsidDel="00000000" w:rsidP="00000000" w:rsidRDefault="00000000" w:rsidRPr="00000000" w14:paraId="00000127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Маркетинговое планирование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</w:p>
        </w:tc>
      </w:tr>
      <w:tr>
        <w:tc>
          <w:tcPr>
            <w:shd w:fill="323e4f" w:val="clear"/>
          </w:tcPr>
          <w:p w:rsidR="00000000" w:rsidDel="00000000" w:rsidP="00000000" w:rsidRDefault="00000000" w:rsidRPr="00000000" w14:paraId="0000012C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Планирование рабочего процесса</w:t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</w:p>
        </w:tc>
      </w:tr>
      <w:tr>
        <w:tc>
          <w:tcPr>
            <w:shd w:fill="323e4f" w:val="clear"/>
          </w:tcPr>
          <w:p w:rsidR="00000000" w:rsidDel="00000000" w:rsidP="00000000" w:rsidRDefault="00000000" w:rsidRPr="00000000" w14:paraId="00000131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Устойчивое развитие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</w:tr>
      <w:tr>
        <w:tc>
          <w:tcPr>
            <w:shd w:fill="323e4f" w:val="clear"/>
          </w:tcPr>
          <w:p w:rsidR="00000000" w:rsidDel="00000000" w:rsidP="00000000" w:rsidRDefault="00000000" w:rsidRPr="00000000" w14:paraId="00000136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Технико-экономическое обоснование проекта, включая финансовые инструменты и показатели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3B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C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Презентация компании (фирмы/проекта) и её продвижение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40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1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1134" w:top="1134" w:left="1701" w:right="851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  <w:sz w:val="14"/>
        <w:szCs w:val="1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drawing>
        <wp:inline distB="0" distT="0" distL="0" distR="0">
          <wp:extent cx="798830" cy="688975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8830" cy="688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1069" w:hanging="360"/>
      </w:pPr>
      <w:rPr/>
    </w:lvl>
    <w:lvl w:ilvl="2">
      <w:start w:val="1"/>
      <w:numFmt w:val="decimal"/>
      <w:lvlText w:val="%1.%2.%3."/>
      <w:lvlJc w:val="left"/>
      <w:pPr>
        <w:ind w:left="2138" w:hanging="720"/>
      </w:pPr>
      <w:rPr/>
    </w:lvl>
    <w:lvl w:ilvl="3">
      <w:start w:val="1"/>
      <w:numFmt w:val="decimal"/>
      <w:lvlText w:val="%1.%2.%3.%4."/>
      <w:lvlJc w:val="left"/>
      <w:pPr>
        <w:ind w:left="2847" w:hanging="720"/>
      </w:pPr>
      <w:rPr/>
    </w:lvl>
    <w:lvl w:ilvl="4">
      <w:start w:val="1"/>
      <w:numFmt w:val="decimal"/>
      <w:lvlText w:val="%1.%2.%3.%4.%5."/>
      <w:lvlJc w:val="left"/>
      <w:pPr>
        <w:ind w:left="3916" w:hanging="1080"/>
      </w:pPr>
      <w:rPr/>
    </w:lvl>
    <w:lvl w:ilvl="5">
      <w:start w:val="1"/>
      <w:numFmt w:val="decimal"/>
      <w:lvlText w:val="%1.%2.%3.%4.%5.%6."/>
      <w:lvlJc w:val="left"/>
      <w:pPr>
        <w:ind w:left="4625" w:hanging="1080"/>
      </w:pPr>
      <w:rPr/>
    </w:lvl>
    <w:lvl w:ilvl="6">
      <w:start w:val="1"/>
      <w:numFmt w:val="decimal"/>
      <w:lvlText w:val="%1.%2.%3.%4.%5.%6.%7."/>
      <w:lvlJc w:val="left"/>
      <w:pPr>
        <w:ind w:left="5694" w:hanging="1440"/>
      </w:pPr>
      <w:rPr/>
    </w:lvl>
    <w:lvl w:ilvl="7">
      <w:start w:val="1"/>
      <w:numFmt w:val="decimal"/>
      <w:lvlText w:val="%1.%2.%3.%4.%5.%6.%7.%8."/>
      <w:lvlJc w:val="left"/>
      <w:pPr>
        <w:ind w:left="6403" w:hanging="1440"/>
      </w:pPr>
      <w:rPr/>
    </w:lvl>
    <w:lvl w:ilvl="8">
      <w:start w:val="1"/>
      <w:numFmt w:val="decimal"/>
      <w:lvlText w:val="%1.%2.%3.%4.%5.%6.%7.%8.%9."/>
      <w:lvlJc w:val="left"/>
      <w:pPr>
        <w:ind w:left="7472" w:hanging="18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592" w:hanging="36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3746" w:hanging="280"/>
      </w:pPr>
      <w:rPr>
        <w:rFonts w:ascii="Times New Roman" w:cs="Times New Roman" w:eastAsia="Times New Roman" w:hAnsi="Times New Roman"/>
        <w:b w:val="1"/>
        <w:sz w:val="28"/>
        <w:szCs w:val="28"/>
      </w:rPr>
    </w:lvl>
    <w:lvl w:ilvl="2">
      <w:start w:val="1"/>
      <w:numFmt w:val="bullet"/>
      <w:lvlText w:val="•"/>
      <w:lvlJc w:val="left"/>
      <w:pPr>
        <w:ind w:left="4591" w:hanging="280"/>
      </w:pPr>
      <w:rPr/>
    </w:lvl>
    <w:lvl w:ilvl="3">
      <w:start w:val="1"/>
      <w:numFmt w:val="bullet"/>
      <w:lvlText w:val="•"/>
      <w:lvlJc w:val="left"/>
      <w:pPr>
        <w:ind w:left="5442" w:hanging="280"/>
      </w:pPr>
      <w:rPr/>
    </w:lvl>
    <w:lvl w:ilvl="4">
      <w:start w:val="1"/>
      <w:numFmt w:val="bullet"/>
      <w:lvlText w:val="•"/>
      <w:lvlJc w:val="left"/>
      <w:pPr>
        <w:ind w:left="6293" w:hanging="280"/>
      </w:pPr>
      <w:rPr/>
    </w:lvl>
    <w:lvl w:ilvl="5">
      <w:start w:val="1"/>
      <w:numFmt w:val="bullet"/>
      <w:lvlText w:val="•"/>
      <w:lvlJc w:val="left"/>
      <w:pPr>
        <w:ind w:left="7144" w:hanging="280"/>
      </w:pPr>
      <w:rPr/>
    </w:lvl>
    <w:lvl w:ilvl="6">
      <w:start w:val="1"/>
      <w:numFmt w:val="bullet"/>
      <w:lvlText w:val="•"/>
      <w:lvlJc w:val="left"/>
      <w:pPr>
        <w:ind w:left="7995" w:hanging="280"/>
      </w:pPr>
      <w:rPr/>
    </w:lvl>
    <w:lvl w:ilvl="7">
      <w:start w:val="1"/>
      <w:numFmt w:val="bullet"/>
      <w:lvlText w:val="•"/>
      <w:lvlJc w:val="left"/>
      <w:pPr>
        <w:ind w:left="8846" w:hanging="280"/>
      </w:pPr>
      <w:rPr/>
    </w:lvl>
    <w:lvl w:ilvl="8">
      <w:start w:val="1"/>
      <w:numFmt w:val="bullet"/>
      <w:lvlText w:val="•"/>
      <w:lvlJc w:val="left"/>
      <w:pPr>
        <w:ind w:left="9697" w:hanging="2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941" w:hanging="360"/>
      </w:pPr>
      <w:rPr/>
    </w:lvl>
    <w:lvl w:ilvl="1">
      <w:start w:val="1"/>
      <w:numFmt w:val="lowerLetter"/>
      <w:lvlText w:val="%2."/>
      <w:lvlJc w:val="left"/>
      <w:pPr>
        <w:ind w:left="2661" w:hanging="360"/>
      </w:pPr>
      <w:rPr/>
    </w:lvl>
    <w:lvl w:ilvl="2">
      <w:start w:val="1"/>
      <w:numFmt w:val="lowerRoman"/>
      <w:lvlText w:val="%3."/>
      <w:lvlJc w:val="right"/>
      <w:pPr>
        <w:ind w:left="3381" w:hanging="180"/>
      </w:pPr>
      <w:rPr/>
    </w:lvl>
    <w:lvl w:ilvl="3">
      <w:start w:val="1"/>
      <w:numFmt w:val="decimal"/>
      <w:lvlText w:val="%4."/>
      <w:lvlJc w:val="left"/>
      <w:pPr>
        <w:ind w:left="4101" w:hanging="360"/>
      </w:pPr>
      <w:rPr/>
    </w:lvl>
    <w:lvl w:ilvl="4">
      <w:start w:val="1"/>
      <w:numFmt w:val="lowerLetter"/>
      <w:lvlText w:val="%5."/>
      <w:lvlJc w:val="left"/>
      <w:pPr>
        <w:ind w:left="4821" w:hanging="360"/>
      </w:pPr>
      <w:rPr/>
    </w:lvl>
    <w:lvl w:ilvl="5">
      <w:start w:val="1"/>
      <w:numFmt w:val="lowerRoman"/>
      <w:lvlText w:val="%6."/>
      <w:lvlJc w:val="right"/>
      <w:pPr>
        <w:ind w:left="5541" w:hanging="180"/>
      </w:pPr>
      <w:rPr/>
    </w:lvl>
    <w:lvl w:ilvl="6">
      <w:start w:val="1"/>
      <w:numFmt w:val="decimal"/>
      <w:lvlText w:val="%7."/>
      <w:lvlJc w:val="left"/>
      <w:pPr>
        <w:ind w:left="6261" w:hanging="360"/>
      </w:pPr>
      <w:rPr/>
    </w:lvl>
    <w:lvl w:ilvl="7">
      <w:start w:val="1"/>
      <w:numFmt w:val="lowerLetter"/>
      <w:lvlText w:val="%8."/>
      <w:lvlJc w:val="left"/>
      <w:pPr>
        <w:ind w:left="6981" w:hanging="360"/>
      </w:pPr>
      <w:rPr/>
    </w:lvl>
    <w:lvl w:ilvl="8">
      <w:start w:val="1"/>
      <w:numFmt w:val="lowerRoman"/>
      <w:lvlText w:val="%9."/>
      <w:lvlJc w:val="right"/>
      <w:pPr>
        <w:ind w:left="7701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592" w:hanging="36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3746" w:hanging="280"/>
      </w:pPr>
      <w:rPr>
        <w:rFonts w:ascii="Times New Roman" w:cs="Times New Roman" w:eastAsia="Times New Roman" w:hAnsi="Times New Roman"/>
        <w:b w:val="1"/>
        <w:sz w:val="28"/>
        <w:szCs w:val="28"/>
      </w:rPr>
    </w:lvl>
    <w:lvl w:ilvl="2">
      <w:start w:val="1"/>
      <w:numFmt w:val="bullet"/>
      <w:lvlText w:val="•"/>
      <w:lvlJc w:val="left"/>
      <w:pPr>
        <w:ind w:left="4591" w:hanging="280"/>
      </w:pPr>
      <w:rPr/>
    </w:lvl>
    <w:lvl w:ilvl="3">
      <w:start w:val="1"/>
      <w:numFmt w:val="bullet"/>
      <w:lvlText w:val="•"/>
      <w:lvlJc w:val="left"/>
      <w:pPr>
        <w:ind w:left="5442" w:hanging="280"/>
      </w:pPr>
      <w:rPr/>
    </w:lvl>
    <w:lvl w:ilvl="4">
      <w:start w:val="1"/>
      <w:numFmt w:val="bullet"/>
      <w:lvlText w:val="•"/>
      <w:lvlJc w:val="left"/>
      <w:pPr>
        <w:ind w:left="6293" w:hanging="280"/>
      </w:pPr>
      <w:rPr/>
    </w:lvl>
    <w:lvl w:ilvl="5">
      <w:start w:val="1"/>
      <w:numFmt w:val="bullet"/>
      <w:lvlText w:val="•"/>
      <w:lvlJc w:val="left"/>
      <w:pPr>
        <w:ind w:left="7144" w:hanging="280"/>
      </w:pPr>
      <w:rPr/>
    </w:lvl>
    <w:lvl w:ilvl="6">
      <w:start w:val="1"/>
      <w:numFmt w:val="bullet"/>
      <w:lvlText w:val="•"/>
      <w:lvlJc w:val="left"/>
      <w:pPr>
        <w:ind w:left="7995" w:hanging="280"/>
      </w:pPr>
      <w:rPr/>
    </w:lvl>
    <w:lvl w:ilvl="7">
      <w:start w:val="1"/>
      <w:numFmt w:val="bullet"/>
      <w:lvlText w:val="•"/>
      <w:lvlJc w:val="left"/>
      <w:pPr>
        <w:ind w:left="8846" w:hanging="280"/>
      </w:pPr>
      <w:rPr/>
    </w:lvl>
    <w:lvl w:ilvl="8">
      <w:start w:val="1"/>
      <w:numFmt w:val="bullet"/>
      <w:lvlText w:val="•"/>
      <w:lvlJc w:val="left"/>
      <w:pPr>
        <w:ind w:left="9697" w:hanging="2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581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9C00B3"/>
  </w:style>
  <w:style w:type="paragraph" w:styleId="1">
    <w:name w:val="heading 1"/>
    <w:basedOn w:val="a"/>
    <w:next w:val="a"/>
    <w:pPr>
      <w:ind w:left="1581"/>
      <w:outlineLvl w:val="0"/>
    </w:pPr>
    <w:rPr>
      <w:b w:val="1"/>
      <w:sz w:val="28"/>
      <w:szCs w:val="2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a7">
    <w:name w:val="List Paragraph"/>
    <w:basedOn w:val="a"/>
    <w:uiPriority w:val="34"/>
    <w:qFormat w:val="1"/>
    <w:rsid w:val="00191F28"/>
    <w:pPr>
      <w:ind w:left="720"/>
      <w:contextualSpacing w:val="1"/>
    </w:pPr>
  </w:style>
  <w:style w:type="paragraph" w:styleId="a8">
    <w:name w:val="header"/>
    <w:basedOn w:val="a"/>
    <w:link w:val="a9"/>
    <w:uiPriority w:val="99"/>
    <w:unhideWhenUsed w:val="1"/>
    <w:rsid w:val="0025411C"/>
    <w:pPr>
      <w:tabs>
        <w:tab w:val="center" w:pos="4677"/>
        <w:tab w:val="right" w:pos="9355"/>
      </w:tabs>
    </w:pPr>
  </w:style>
  <w:style w:type="character" w:styleId="a9" w:customStyle="1">
    <w:name w:val="Верхний колонтитул Знак"/>
    <w:basedOn w:val="a0"/>
    <w:link w:val="a8"/>
    <w:uiPriority w:val="99"/>
    <w:rsid w:val="0025411C"/>
  </w:style>
  <w:style w:type="paragraph" w:styleId="aa">
    <w:name w:val="footer"/>
    <w:basedOn w:val="a"/>
    <w:link w:val="ab"/>
    <w:uiPriority w:val="99"/>
    <w:unhideWhenUsed w:val="1"/>
    <w:rsid w:val="0025411C"/>
    <w:pPr>
      <w:tabs>
        <w:tab w:val="center" w:pos="4677"/>
        <w:tab w:val="right" w:pos="9355"/>
      </w:tabs>
    </w:pPr>
  </w:style>
  <w:style w:type="character" w:styleId="ab" w:customStyle="1">
    <w:name w:val="Нижний колонтитул Знак"/>
    <w:basedOn w:val="a0"/>
    <w:link w:val="aa"/>
    <w:uiPriority w:val="99"/>
    <w:rsid w:val="0025411C"/>
  </w:style>
  <w:style w:type="paragraph" w:styleId="ac">
    <w:name w:val="Balloon Text"/>
    <w:basedOn w:val="a"/>
    <w:link w:val="ad"/>
    <w:uiPriority w:val="99"/>
    <w:semiHidden w:val="1"/>
    <w:unhideWhenUsed w:val="1"/>
    <w:rsid w:val="00D15EBC"/>
    <w:rPr>
      <w:rFonts w:ascii="Tahoma" w:cs="Tahoma" w:hAnsi="Tahoma"/>
      <w:sz w:val="16"/>
      <w:szCs w:val="16"/>
    </w:rPr>
  </w:style>
  <w:style w:type="character" w:styleId="ad" w:customStyle="1">
    <w:name w:val="Текст выноски Знак"/>
    <w:basedOn w:val="a0"/>
    <w:link w:val="ac"/>
    <w:uiPriority w:val="99"/>
    <w:semiHidden w:val="1"/>
    <w:rsid w:val="00D15EBC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GFLvxjbSvkspLrn+epGc6xBwrQ==">AMUW2mWqOUGEM2umqNw5xSQg1tWbz63K5sZqUtndIJJb7HxlULRmdtb9gWycmHJZlBrcOnoUduKZU+Hl/sDd+unA//F/KGl7nsM9jhYmrbUqLDpub/VS7eHLSJy3lMcs97WMk+5QqEOIEHNp2eHxo5+eB5N1nmTDxCOh8lr48Xkod9prfLpvhcEzuNDUg/5+C8NQSwz8mTDfXBtKWFQ7bfhpr5OsmQwcGsupl7luiKeOshzqGAC+VML4immviXPTN5YzwDXIReSp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2021-02-24T09:02:00Z</dcterms:created>
  <dc:creator>Olga</dc:creator>
</cp:coreProperties>
</file>